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2A4D345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A422AA">
        <w:rPr>
          <w:rFonts w:ascii="Arial" w:eastAsia="SimSun" w:hAnsi="Arial" w:cs="Times New Roman"/>
          <w:b/>
          <w:bCs/>
          <w:sz w:val="24"/>
          <w:szCs w:val="20"/>
          <w:lang w:val="en-GB" w:eastAsia="ja-JP"/>
        </w:rPr>
        <w:t>2884</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42E587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32A0">
        <w:rPr>
          <w:rFonts w:ascii="Arial" w:eastAsia="Calibri" w:hAnsi="Arial" w:cs="Arial"/>
          <w:b/>
          <w:bCs/>
          <w:sz w:val="24"/>
          <w:lang w:val="en-GB"/>
        </w:rPr>
        <w:t>On RRM tests for</w:t>
      </w:r>
      <w:r w:rsidR="00BA37F8">
        <w:rPr>
          <w:rFonts w:ascii="Arial" w:eastAsia="Calibri" w:hAnsi="Arial" w:cs="Arial"/>
          <w:b/>
          <w:bCs/>
          <w:sz w:val="24"/>
          <w:lang w:val="en-GB"/>
        </w:rPr>
        <w:t xml:space="preserve"> UE </w:t>
      </w:r>
      <w:r w:rsidR="0085179D">
        <w:rPr>
          <w:rFonts w:ascii="Arial" w:eastAsia="Calibri" w:hAnsi="Arial" w:cs="Arial"/>
          <w:b/>
          <w:bCs/>
          <w:sz w:val="24"/>
          <w:lang w:val="en-GB"/>
        </w:rPr>
        <w:t xml:space="preserve">transmit </w:t>
      </w:r>
      <w:r w:rsidR="00BA37F8">
        <w:rPr>
          <w:rFonts w:ascii="Arial" w:eastAsia="Calibri" w:hAnsi="Arial" w:cs="Arial"/>
          <w:b/>
          <w:bCs/>
          <w:sz w:val="24"/>
          <w:lang w:val="en-GB"/>
        </w:rPr>
        <w:t>timing in</w:t>
      </w:r>
      <w:r w:rsidR="001E32A0">
        <w:rPr>
          <w:rFonts w:ascii="Arial" w:eastAsia="Calibri" w:hAnsi="Arial" w:cs="Arial"/>
          <w:b/>
          <w:bCs/>
          <w:sz w:val="24"/>
          <w:lang w:val="en-GB"/>
        </w:rPr>
        <w:t xml:space="preserve"> Rel-17 </w:t>
      </w:r>
      <w:r w:rsidR="00331FB8">
        <w:rPr>
          <w:rFonts w:ascii="Arial" w:eastAsia="Calibri" w:hAnsi="Arial" w:cs="Arial"/>
          <w:b/>
          <w:bCs/>
          <w:sz w:val="24"/>
          <w:lang w:val="en-GB"/>
        </w:rPr>
        <w:t xml:space="preserve">NR </w:t>
      </w:r>
      <w:r w:rsidR="001E32A0">
        <w:rPr>
          <w:rFonts w:ascii="Arial" w:eastAsia="Calibri" w:hAnsi="Arial" w:cs="Arial"/>
          <w:b/>
          <w:bCs/>
          <w:sz w:val="24"/>
          <w:lang w:val="en-GB"/>
        </w:rPr>
        <w:t xml:space="preserve">NTN </w:t>
      </w:r>
      <w:r w:rsidR="00017901">
        <w:rPr>
          <w:rFonts w:ascii="Arial" w:eastAsia="Calibri" w:hAnsi="Arial" w:cs="Arial"/>
          <w:b/>
          <w:bCs/>
          <w:sz w:val="24"/>
          <w:lang w:val="en-GB"/>
        </w:rPr>
        <w:t xml:space="preserve"> </w:t>
      </w:r>
      <w:r w:rsidR="00084CFE">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3349752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169CF" w:rsidRPr="005908B9">
        <w:rPr>
          <w:rFonts w:ascii="Arial" w:eastAsia="Calibri" w:hAnsi="Arial" w:cs="Arial"/>
          <w:b/>
          <w:bCs/>
          <w:sz w:val="24"/>
          <w:lang w:val="en-GB"/>
        </w:rPr>
        <w:t>9</w:t>
      </w:r>
      <w:r w:rsidRPr="005908B9">
        <w:rPr>
          <w:rFonts w:ascii="Arial" w:eastAsia="Calibri" w:hAnsi="Arial" w:cs="Arial"/>
          <w:b/>
          <w:bCs/>
          <w:sz w:val="24"/>
          <w:lang w:val="en-GB"/>
        </w:rPr>
        <w:t>.</w:t>
      </w:r>
      <w:r w:rsidR="00AB2C75" w:rsidRPr="005908B9">
        <w:rPr>
          <w:rFonts w:ascii="Arial" w:eastAsia="Calibri" w:hAnsi="Arial" w:cs="Arial"/>
          <w:b/>
          <w:bCs/>
          <w:sz w:val="24"/>
          <w:lang w:val="en-GB"/>
        </w:rPr>
        <w:t>1</w:t>
      </w:r>
      <w:r w:rsidR="00E315EA" w:rsidRPr="005908B9">
        <w:rPr>
          <w:rFonts w:ascii="Arial" w:eastAsia="Calibri" w:hAnsi="Arial" w:cs="Arial"/>
          <w:b/>
          <w:bCs/>
          <w:sz w:val="24"/>
          <w:lang w:val="en-GB"/>
        </w:rPr>
        <w:t>1</w:t>
      </w:r>
      <w:r w:rsidR="00C61950" w:rsidRPr="005908B9">
        <w:rPr>
          <w:rFonts w:ascii="Arial" w:eastAsia="Calibri" w:hAnsi="Arial" w:cs="Arial"/>
          <w:b/>
          <w:bCs/>
          <w:sz w:val="24"/>
          <w:lang w:val="en-GB"/>
        </w:rPr>
        <w:t>.</w:t>
      </w:r>
      <w:r w:rsidR="00852067" w:rsidRPr="005908B9">
        <w:rPr>
          <w:rFonts w:ascii="Arial" w:eastAsia="Calibri" w:hAnsi="Arial" w:cs="Arial"/>
          <w:b/>
          <w:bCs/>
          <w:sz w:val="24"/>
          <w:lang w:val="en-GB"/>
        </w:rPr>
        <w:t>6</w:t>
      </w:r>
      <w:r w:rsidR="00E315EA" w:rsidRPr="005908B9">
        <w:rPr>
          <w:rFonts w:ascii="Arial" w:eastAsia="Calibri" w:hAnsi="Arial" w:cs="Arial"/>
          <w:b/>
          <w:bCs/>
          <w:sz w:val="24"/>
          <w:lang w:val="en-GB"/>
        </w:rPr>
        <w:t>.5</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5DFADB5" w14:textId="2508DCAC" w:rsidR="005908B9" w:rsidRDefault="005908B9" w:rsidP="00841BCD">
      <w:pPr>
        <w:ind w:right="-22"/>
        <w:rPr>
          <w:bCs/>
        </w:rPr>
      </w:pPr>
      <w:r>
        <w:rPr>
          <w:rStyle w:val="normaltextrun"/>
          <w:color w:val="000000"/>
          <w:szCs w:val="20"/>
          <w:shd w:val="clear" w:color="auto" w:fill="FFFFFF"/>
        </w:rPr>
        <w:t xml:space="preserve">The WI description for RAN4 work related to NR over NTN was presented in </w:t>
      </w:r>
      <w:r>
        <w:rPr>
          <w:rStyle w:val="normaltextrun"/>
          <w:color w:val="000000"/>
          <w:szCs w:val="20"/>
          <w:shd w:val="clear" w:color="auto" w:fill="E1E3E6"/>
        </w:rPr>
        <w:t>[1]</w:t>
      </w:r>
      <w:r>
        <w:rPr>
          <w:rStyle w:val="normaltextrun"/>
          <w:color w:val="000000"/>
          <w:szCs w:val="20"/>
          <w:shd w:val="clear" w:color="auto" w:fill="FFFFFF"/>
        </w:rPr>
        <w:t xml:space="preserve">. Following the progress of RAN4 on the topic, it was approved an extension for the WI activities, in order to address eventual open issues. The WI exception list provided in </w:t>
      </w:r>
      <w:r>
        <w:rPr>
          <w:rStyle w:val="normaltextrun"/>
          <w:color w:val="000000"/>
          <w:szCs w:val="20"/>
          <w:shd w:val="clear" w:color="auto" w:fill="E1E3E6"/>
        </w:rPr>
        <w:t>[2]</w:t>
      </w:r>
      <w:r>
        <w:rPr>
          <w:rStyle w:val="normaltextrun"/>
          <w:color w:val="000000"/>
          <w:szCs w:val="20"/>
          <w:shd w:val="clear" w:color="auto" w:fill="FFFFFF"/>
        </w:rPr>
        <w:t xml:space="preserve"> includes RAN4 RRM requirements, with provision for clarifications and addressing possible inconsistencies.  This contribution proposes further clarification for issues regarding the consistency of GNSS-related operation by UEs in NTN.   </w:t>
      </w:r>
      <w:r>
        <w:rPr>
          <w:rStyle w:val="eop"/>
          <w:color w:val="000000"/>
          <w:szCs w:val="20"/>
          <w:shd w:val="clear" w:color="auto" w:fill="FFFFFF"/>
        </w:rPr>
        <w:t> </w:t>
      </w:r>
    </w:p>
    <w:p w14:paraId="62A6CE00" w14:textId="77777777" w:rsidR="008B4684" w:rsidRDefault="008B4684" w:rsidP="00841BCD">
      <w:pPr>
        <w:ind w:right="-22"/>
        <w:rPr>
          <w:bCs/>
        </w:rPr>
      </w:pPr>
    </w:p>
    <w:p w14:paraId="5CA24BAE" w14:textId="3E41AB9A" w:rsidR="00E323C0" w:rsidRPr="009D1737" w:rsidRDefault="003B659E" w:rsidP="009D1737">
      <w:pPr>
        <w:pStyle w:val="RAN4H1"/>
      </w:pPr>
      <w:r w:rsidRPr="00AE56B1">
        <w:t>Discussion</w:t>
      </w:r>
    </w:p>
    <w:p w14:paraId="069861EC" w14:textId="77777777" w:rsidR="001C7928" w:rsidRDefault="001C7928" w:rsidP="001C7928">
      <w:pPr>
        <w:pStyle w:val="RAN4H2"/>
      </w:pPr>
      <w:r>
        <w:t>Minimum set of required tests</w:t>
      </w:r>
    </w:p>
    <w:p w14:paraId="1EF15B66" w14:textId="08189CF1" w:rsidR="001C7928" w:rsidRPr="00D2390D" w:rsidRDefault="001C7928" w:rsidP="001C7928">
      <w:r>
        <w:t xml:space="preserve">Last meeting, RAN4 has discussed the test case list for NTN UE timing requirements, and the following list was agreed as required tests to be performed by a UE with NTN capabilities, and to further study the notes related to the minimum </w:t>
      </w:r>
      <w:r w:rsidRPr="00D2390D">
        <w:t>set of tests required for a UE supporting both NGSO and GSO [</w:t>
      </w:r>
      <w:r w:rsidR="005908B9">
        <w:t>3</w:t>
      </w:r>
      <w:r w:rsidRPr="00D2390D">
        <w:t>].</w:t>
      </w:r>
    </w:p>
    <w:tbl>
      <w:tblPr>
        <w:tblW w:w="10101" w:type="dxa"/>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1"/>
      </w:tblGrid>
      <w:tr w:rsidR="00D2390D" w:rsidRPr="00D2390D" w14:paraId="417E532B" w14:textId="77777777" w:rsidTr="00D2390D">
        <w:trPr>
          <w:trHeight w:val="7619"/>
        </w:trPr>
        <w:tc>
          <w:tcPr>
            <w:tcW w:w="10101" w:type="dxa"/>
          </w:tcPr>
          <w:p w14:paraId="4817F1CB" w14:textId="560BF8A7" w:rsidR="00D2390D" w:rsidRPr="005908B9" w:rsidRDefault="00D2390D" w:rsidP="00D2390D">
            <w:pPr>
              <w:pStyle w:val="ListParagraph"/>
              <w:numPr>
                <w:ilvl w:val="1"/>
                <w:numId w:val="14"/>
              </w:numPr>
              <w:autoSpaceDN w:val="0"/>
              <w:spacing w:after="120"/>
              <w:ind w:left="1142"/>
              <w:contextualSpacing w:val="0"/>
              <w:jc w:val="both"/>
              <w:rPr>
                <w:rFonts w:eastAsia="SimSun" w:cs="Times New Roman"/>
                <w:szCs w:val="24"/>
                <w:highlight w:val="green"/>
              </w:rPr>
            </w:pPr>
            <w:r w:rsidRPr="005908B9">
              <w:rPr>
                <w:rFonts w:eastAsia="SimSun" w:cs="Times New Roman"/>
                <w:szCs w:val="24"/>
                <w:highlight w:val="green"/>
              </w:rPr>
              <w:lastRenderedPageBreak/>
              <w:t>Agreement</w:t>
            </w:r>
            <w:r w:rsidR="00D106CA">
              <w:rPr>
                <w:rFonts w:eastAsia="SimSun" w:cs="Times New Roman"/>
                <w:szCs w:val="24"/>
                <w:highlight w:val="green"/>
              </w:rPr>
              <w:t xml:space="preserve"> </w:t>
            </w:r>
            <w:r w:rsidR="00D106CA" w:rsidRPr="004E3BCF">
              <w:t>[</w:t>
            </w:r>
            <w:r w:rsidR="005908B9">
              <w:t>3</w:t>
            </w:r>
            <w:r w:rsidR="00D106CA" w:rsidRPr="004E3BCF">
              <w:t>]</w:t>
            </w:r>
            <w:r w:rsidRPr="005908B9">
              <w:rPr>
                <w:rFonts w:eastAsia="SimSun" w:cs="Times New Roman"/>
                <w:szCs w:val="24"/>
                <w:highlight w:val="green"/>
              </w:rPr>
              <w:t>:</w:t>
            </w:r>
          </w:p>
          <w:tbl>
            <w:tblPr>
              <w:tblStyle w:val="TableGrid"/>
              <w:tblW w:w="8642" w:type="dxa"/>
              <w:tblInd w:w="302" w:type="dxa"/>
              <w:tblLook w:val="04A0" w:firstRow="1" w:lastRow="0" w:firstColumn="1" w:lastColumn="0" w:noHBand="0" w:noVBand="1"/>
            </w:tblPr>
            <w:tblGrid>
              <w:gridCol w:w="1117"/>
              <w:gridCol w:w="2404"/>
              <w:gridCol w:w="3788"/>
              <w:gridCol w:w="1333"/>
            </w:tblGrid>
            <w:tr w:rsidR="00D2390D" w:rsidRPr="00D2390D" w14:paraId="53FD7142" w14:textId="77777777" w:rsidTr="00D2390D">
              <w:trPr>
                <w:trHeight w:val="360"/>
              </w:trPr>
              <w:tc>
                <w:tcPr>
                  <w:tcW w:w="1117" w:type="dxa"/>
                  <w:hideMark/>
                </w:tcPr>
                <w:p w14:paraId="59A3DF66" w14:textId="77777777" w:rsidR="00D2390D" w:rsidRPr="00D2390D" w:rsidRDefault="00D2390D" w:rsidP="004E3BCF">
                  <w:pPr>
                    <w:rPr>
                      <w:rFonts w:ascii="SimSun" w:hAnsi="SimSun"/>
                      <w:sz w:val="27"/>
                      <w:szCs w:val="27"/>
                    </w:rPr>
                  </w:pPr>
                  <w:r w:rsidRPr="00D2390D">
                    <w:rPr>
                      <w:rFonts w:ascii="Helvetica Neue" w:hAnsi="Helvetica Neue"/>
                      <w:b/>
                      <w:bCs/>
                      <w:color w:val="000000"/>
                      <w:sz w:val="18"/>
                      <w:szCs w:val="18"/>
                    </w:rPr>
                    <w:t>TC index</w:t>
                  </w:r>
                </w:p>
              </w:tc>
              <w:tc>
                <w:tcPr>
                  <w:tcW w:w="2404" w:type="dxa"/>
                  <w:hideMark/>
                </w:tcPr>
                <w:p w14:paraId="7EBE200C" w14:textId="77777777" w:rsidR="00D2390D" w:rsidRPr="00D2390D" w:rsidRDefault="00D2390D" w:rsidP="004E3BCF">
                  <w:pPr>
                    <w:rPr>
                      <w:rFonts w:ascii="SimSun" w:hAnsi="SimSun"/>
                      <w:sz w:val="27"/>
                      <w:szCs w:val="27"/>
                    </w:rPr>
                  </w:pPr>
                  <w:r w:rsidRPr="00D2390D">
                    <w:rPr>
                      <w:rFonts w:ascii="Helvetica Neue" w:hAnsi="Helvetica Neue"/>
                      <w:b/>
                      <w:bCs/>
                      <w:color w:val="000000"/>
                      <w:sz w:val="18"/>
                      <w:szCs w:val="18"/>
                    </w:rPr>
                    <w:t>TC</w:t>
                  </w:r>
                </w:p>
              </w:tc>
              <w:tc>
                <w:tcPr>
                  <w:tcW w:w="3788" w:type="dxa"/>
                  <w:hideMark/>
                </w:tcPr>
                <w:p w14:paraId="5EE05DF3" w14:textId="77777777" w:rsidR="00D2390D" w:rsidRPr="00D2390D" w:rsidRDefault="00D2390D" w:rsidP="004E3BCF">
                  <w:pPr>
                    <w:rPr>
                      <w:rFonts w:ascii="SimSun" w:hAnsi="SimSun"/>
                      <w:sz w:val="27"/>
                      <w:szCs w:val="27"/>
                    </w:rPr>
                  </w:pPr>
                  <w:r w:rsidRPr="00D2390D">
                    <w:rPr>
                      <w:rFonts w:ascii="Helvetica Neue" w:hAnsi="Helvetica Neue"/>
                      <w:b/>
                      <w:bCs/>
                      <w:color w:val="000000"/>
                      <w:sz w:val="18"/>
                      <w:szCs w:val="18"/>
                    </w:rPr>
                    <w:t>Purpose</w:t>
                  </w:r>
                </w:p>
              </w:tc>
              <w:tc>
                <w:tcPr>
                  <w:tcW w:w="1333" w:type="dxa"/>
                  <w:hideMark/>
                </w:tcPr>
                <w:p w14:paraId="60811B34" w14:textId="77777777" w:rsidR="00D2390D" w:rsidRPr="00D2390D" w:rsidRDefault="00D2390D" w:rsidP="004E3BCF">
                  <w:pPr>
                    <w:rPr>
                      <w:rFonts w:ascii="SimSun" w:hAnsi="SimSun"/>
                      <w:sz w:val="27"/>
                      <w:szCs w:val="27"/>
                    </w:rPr>
                  </w:pPr>
                  <w:r w:rsidRPr="00D2390D">
                    <w:rPr>
                      <w:rFonts w:ascii="Helvetica Neue" w:hAnsi="Helvetica Neue"/>
                      <w:b/>
                      <w:bCs/>
                      <w:color w:val="000000"/>
                      <w:sz w:val="18"/>
                      <w:szCs w:val="18"/>
                    </w:rPr>
                    <w:t>Section ID</w:t>
                  </w:r>
                </w:p>
              </w:tc>
            </w:tr>
            <w:tr w:rsidR="00D2390D" w:rsidRPr="00D2390D" w14:paraId="0EE8CD37" w14:textId="77777777" w:rsidTr="00D2390D">
              <w:trPr>
                <w:trHeight w:val="705"/>
              </w:trPr>
              <w:tc>
                <w:tcPr>
                  <w:tcW w:w="1117" w:type="dxa"/>
                  <w:hideMark/>
                </w:tcPr>
                <w:p w14:paraId="3CEEC2E0" w14:textId="77777777" w:rsidR="00D2390D" w:rsidRPr="00D2390D" w:rsidRDefault="00D2390D" w:rsidP="004E3BCF">
                  <w:pPr>
                    <w:rPr>
                      <w:rFonts w:ascii="SimSun" w:hAnsi="SimSun"/>
                      <w:sz w:val="27"/>
                      <w:szCs w:val="27"/>
                    </w:rPr>
                  </w:pPr>
                  <w:r w:rsidRPr="00D2390D">
                    <w:rPr>
                      <w:rFonts w:ascii="Helvetica Neue" w:hAnsi="Helvetica Neue"/>
                      <w:b/>
                      <w:bCs/>
                      <w:color w:val="000000"/>
                      <w:sz w:val="18"/>
                      <w:szCs w:val="18"/>
                    </w:rPr>
                    <w:t>1</w:t>
                  </w:r>
                </w:p>
              </w:tc>
              <w:tc>
                <w:tcPr>
                  <w:tcW w:w="2404" w:type="dxa"/>
                  <w:hideMark/>
                </w:tcPr>
                <w:p w14:paraId="2EB6D34F" w14:textId="77777777" w:rsidR="00D2390D" w:rsidRPr="00D2390D" w:rsidRDefault="00D2390D" w:rsidP="004E3BCF">
                  <w:pPr>
                    <w:rPr>
                      <w:sz w:val="27"/>
                      <w:szCs w:val="27"/>
                    </w:rPr>
                  </w:pPr>
                  <w:r w:rsidRPr="00D2390D">
                    <w:rPr>
                      <w:color w:val="000000"/>
                      <w:sz w:val="18"/>
                      <w:szCs w:val="18"/>
                    </w:rPr>
                    <w:t>NTN UE transmit timing test in GSO scenario</w:t>
                  </w:r>
                </w:p>
              </w:tc>
              <w:tc>
                <w:tcPr>
                  <w:tcW w:w="3788" w:type="dxa"/>
                  <w:hideMark/>
                </w:tcPr>
                <w:p w14:paraId="36D53F90" w14:textId="77777777" w:rsidR="00D2390D" w:rsidRPr="00D2390D" w:rsidRDefault="00D2390D" w:rsidP="004E3BCF">
                  <w:pPr>
                    <w:rPr>
                      <w:sz w:val="27"/>
                      <w:szCs w:val="27"/>
                    </w:rPr>
                  </w:pPr>
                  <w:r w:rsidRPr="00D2390D">
                    <w:rPr>
                      <w:color w:val="000000"/>
                      <w:sz w:val="18"/>
                      <w:szCs w:val="18"/>
                    </w:rPr>
                    <w:t>To verify the UE can follow frame timing change of the connected gNB and that the UE initial transmit timing accuracy, maximum amount of timing change in one adjustment, minimum and maximum adjustment rate are within the specified limits in GSO scenario.</w:t>
                  </w:r>
                </w:p>
              </w:tc>
              <w:tc>
                <w:tcPr>
                  <w:tcW w:w="1333" w:type="dxa"/>
                  <w:hideMark/>
                </w:tcPr>
                <w:p w14:paraId="2DF44431" w14:textId="77777777" w:rsidR="00D2390D" w:rsidRPr="00D2390D" w:rsidRDefault="00D2390D" w:rsidP="004E3BCF">
                  <w:pPr>
                    <w:rPr>
                      <w:sz w:val="27"/>
                      <w:szCs w:val="27"/>
                    </w:rPr>
                  </w:pPr>
                  <w:r w:rsidRPr="00D2390D">
                    <w:rPr>
                      <w:color w:val="000000"/>
                      <w:sz w:val="18"/>
                      <w:szCs w:val="18"/>
                    </w:rPr>
                    <w:t>A.14.x1.1</w:t>
                  </w:r>
                </w:p>
              </w:tc>
            </w:tr>
            <w:tr w:rsidR="00D2390D" w:rsidRPr="00D2390D" w14:paraId="3ADBCA55" w14:textId="77777777" w:rsidTr="00D2390D">
              <w:trPr>
                <w:trHeight w:val="705"/>
              </w:trPr>
              <w:tc>
                <w:tcPr>
                  <w:tcW w:w="1117" w:type="dxa"/>
                </w:tcPr>
                <w:p w14:paraId="1415806A" w14:textId="77777777" w:rsidR="00D2390D" w:rsidRPr="00D2390D" w:rsidRDefault="00D2390D" w:rsidP="004E3BCF">
                  <w:pPr>
                    <w:rPr>
                      <w:rFonts w:ascii="Helvetica Neue" w:hAnsi="Helvetica Neue"/>
                      <w:b/>
                      <w:bCs/>
                      <w:color w:val="000000"/>
                      <w:sz w:val="18"/>
                      <w:szCs w:val="18"/>
                    </w:rPr>
                  </w:pPr>
                  <w:r w:rsidRPr="00D2390D">
                    <w:rPr>
                      <w:rFonts w:ascii="Helvetica Neue" w:hAnsi="Helvetica Neue"/>
                      <w:b/>
                      <w:bCs/>
                      <w:color w:val="000000"/>
                      <w:sz w:val="18"/>
                      <w:szCs w:val="18"/>
                    </w:rPr>
                    <w:t>2</w:t>
                  </w:r>
                </w:p>
              </w:tc>
              <w:tc>
                <w:tcPr>
                  <w:tcW w:w="2404" w:type="dxa"/>
                </w:tcPr>
                <w:p w14:paraId="17EC1649" w14:textId="77777777" w:rsidR="00D2390D" w:rsidRPr="00D2390D" w:rsidRDefault="00D2390D" w:rsidP="004E3BCF">
                  <w:pPr>
                    <w:rPr>
                      <w:color w:val="000000"/>
                      <w:sz w:val="18"/>
                      <w:szCs w:val="18"/>
                    </w:rPr>
                  </w:pPr>
                  <w:r w:rsidRPr="00D2390D">
                    <w:rPr>
                      <w:color w:val="000000"/>
                      <w:sz w:val="18"/>
                      <w:szCs w:val="18"/>
                    </w:rPr>
                    <w:t>NTN UE transmit timing test in NGSO scenario</w:t>
                  </w:r>
                </w:p>
              </w:tc>
              <w:tc>
                <w:tcPr>
                  <w:tcW w:w="3788" w:type="dxa"/>
                </w:tcPr>
                <w:p w14:paraId="571FB5B3" w14:textId="77777777" w:rsidR="00D2390D" w:rsidRPr="00D2390D" w:rsidRDefault="00D2390D" w:rsidP="004E3BCF">
                  <w:pPr>
                    <w:rPr>
                      <w:color w:val="000000"/>
                      <w:sz w:val="18"/>
                      <w:szCs w:val="18"/>
                    </w:rPr>
                  </w:pPr>
                  <w:r w:rsidRPr="00D2390D">
                    <w:rPr>
                      <w:color w:val="000000"/>
                      <w:sz w:val="18"/>
                      <w:szCs w:val="18"/>
                    </w:rPr>
                    <w:t>To verify the UE can follow frame timing change of the connected gNB and that the UE initial transmit timing accuracy, maximum amount of timing change in one adjustment, minimum and maximum adjustment rate are within the specified limits in NGSO scenario.</w:t>
                  </w:r>
                </w:p>
              </w:tc>
              <w:tc>
                <w:tcPr>
                  <w:tcW w:w="1333" w:type="dxa"/>
                </w:tcPr>
                <w:p w14:paraId="768A834B" w14:textId="77777777" w:rsidR="00D2390D" w:rsidRPr="00D2390D" w:rsidRDefault="00D2390D" w:rsidP="004E3BCF">
                  <w:pPr>
                    <w:rPr>
                      <w:color w:val="000000"/>
                      <w:sz w:val="18"/>
                      <w:szCs w:val="18"/>
                    </w:rPr>
                  </w:pPr>
                  <w:r w:rsidRPr="00D2390D">
                    <w:rPr>
                      <w:color w:val="000000"/>
                      <w:sz w:val="18"/>
                      <w:szCs w:val="18"/>
                    </w:rPr>
                    <w:t>A.14.x1.2</w:t>
                  </w:r>
                </w:p>
              </w:tc>
            </w:tr>
            <w:tr w:rsidR="00D2390D" w:rsidRPr="00D2390D" w14:paraId="3623AF0C" w14:textId="77777777" w:rsidTr="00D2390D">
              <w:trPr>
                <w:trHeight w:val="720"/>
              </w:trPr>
              <w:tc>
                <w:tcPr>
                  <w:tcW w:w="1117" w:type="dxa"/>
                  <w:hideMark/>
                </w:tcPr>
                <w:p w14:paraId="1CEE02E9" w14:textId="77777777" w:rsidR="00D2390D" w:rsidRPr="00D2390D" w:rsidRDefault="00D2390D" w:rsidP="004E3BCF">
                  <w:pPr>
                    <w:rPr>
                      <w:rFonts w:ascii="SimSun" w:hAnsi="SimSun"/>
                      <w:sz w:val="27"/>
                      <w:szCs w:val="27"/>
                    </w:rPr>
                  </w:pPr>
                  <w:r w:rsidRPr="00D2390D">
                    <w:rPr>
                      <w:rFonts w:ascii="Helvetica Neue" w:hAnsi="Helvetica Neue"/>
                      <w:b/>
                      <w:bCs/>
                      <w:color w:val="000000"/>
                      <w:sz w:val="18"/>
                      <w:szCs w:val="18"/>
                    </w:rPr>
                    <w:t>3</w:t>
                  </w:r>
                </w:p>
              </w:tc>
              <w:tc>
                <w:tcPr>
                  <w:tcW w:w="2404" w:type="dxa"/>
                  <w:hideMark/>
                </w:tcPr>
                <w:p w14:paraId="71F26AED" w14:textId="77777777" w:rsidR="00D2390D" w:rsidRPr="00D2390D" w:rsidRDefault="00D2390D" w:rsidP="004E3BCF">
                  <w:pPr>
                    <w:rPr>
                      <w:sz w:val="27"/>
                      <w:szCs w:val="27"/>
                    </w:rPr>
                  </w:pPr>
                  <w:r w:rsidRPr="00D2390D">
                    <w:rPr>
                      <w:color w:val="000000"/>
                      <w:sz w:val="18"/>
                      <w:szCs w:val="18"/>
                    </w:rPr>
                    <w:t>NTN UE timing advance adjustment accuracy test in GSO scenario</w:t>
                  </w:r>
                </w:p>
              </w:tc>
              <w:tc>
                <w:tcPr>
                  <w:tcW w:w="3788" w:type="dxa"/>
                  <w:hideMark/>
                </w:tcPr>
                <w:p w14:paraId="7BFCEE78" w14:textId="77777777" w:rsidR="00D2390D" w:rsidRPr="00D2390D" w:rsidRDefault="00D2390D" w:rsidP="004E3BCF">
                  <w:pPr>
                    <w:rPr>
                      <w:sz w:val="27"/>
                      <w:szCs w:val="27"/>
                    </w:rPr>
                  </w:pPr>
                  <w:r w:rsidRPr="00D2390D">
                    <w:rPr>
                      <w:color w:val="000000"/>
                      <w:sz w:val="18"/>
                      <w:szCs w:val="18"/>
                    </w:rPr>
                    <w:t>To verify the UE Timing Advance adjustment delay and accuracy requirement in GSO scenario.</w:t>
                  </w:r>
                </w:p>
              </w:tc>
              <w:tc>
                <w:tcPr>
                  <w:tcW w:w="1333" w:type="dxa"/>
                  <w:hideMark/>
                </w:tcPr>
                <w:p w14:paraId="315572D9" w14:textId="77777777" w:rsidR="00D2390D" w:rsidRPr="00D2390D" w:rsidRDefault="00D2390D" w:rsidP="004E3BCF">
                  <w:pPr>
                    <w:rPr>
                      <w:sz w:val="27"/>
                      <w:szCs w:val="27"/>
                    </w:rPr>
                  </w:pPr>
                  <w:r w:rsidRPr="00D2390D">
                    <w:rPr>
                      <w:color w:val="000000"/>
                      <w:sz w:val="18"/>
                      <w:szCs w:val="18"/>
                    </w:rPr>
                    <w:t>A.14.x2.3</w:t>
                  </w:r>
                </w:p>
              </w:tc>
            </w:tr>
            <w:tr w:rsidR="00D2390D" w:rsidRPr="00D2390D" w14:paraId="1C25AA3D" w14:textId="77777777" w:rsidTr="00D2390D">
              <w:trPr>
                <w:trHeight w:val="720"/>
              </w:trPr>
              <w:tc>
                <w:tcPr>
                  <w:tcW w:w="1117" w:type="dxa"/>
                </w:tcPr>
                <w:p w14:paraId="11FF2C64" w14:textId="77777777" w:rsidR="00D2390D" w:rsidRPr="00D2390D" w:rsidRDefault="00D2390D" w:rsidP="004E3BCF">
                  <w:pPr>
                    <w:rPr>
                      <w:rFonts w:ascii="Helvetica Neue" w:hAnsi="Helvetica Neue"/>
                      <w:b/>
                      <w:bCs/>
                      <w:color w:val="000000"/>
                      <w:sz w:val="18"/>
                      <w:szCs w:val="18"/>
                    </w:rPr>
                  </w:pPr>
                  <w:r w:rsidRPr="00D2390D">
                    <w:rPr>
                      <w:rFonts w:ascii="Helvetica Neue" w:hAnsi="Helvetica Neue"/>
                      <w:b/>
                      <w:bCs/>
                      <w:color w:val="000000"/>
                      <w:sz w:val="18"/>
                      <w:szCs w:val="18"/>
                    </w:rPr>
                    <w:t>4</w:t>
                  </w:r>
                </w:p>
              </w:tc>
              <w:tc>
                <w:tcPr>
                  <w:tcW w:w="2404" w:type="dxa"/>
                </w:tcPr>
                <w:p w14:paraId="0556A151" w14:textId="77777777" w:rsidR="00D2390D" w:rsidRPr="00D2390D" w:rsidRDefault="00D2390D" w:rsidP="004E3BCF">
                  <w:pPr>
                    <w:rPr>
                      <w:color w:val="000000"/>
                      <w:sz w:val="18"/>
                      <w:szCs w:val="18"/>
                    </w:rPr>
                  </w:pPr>
                  <w:r w:rsidRPr="00D2390D">
                    <w:rPr>
                      <w:color w:val="000000"/>
                      <w:sz w:val="18"/>
                      <w:szCs w:val="18"/>
                    </w:rPr>
                    <w:t>NTN UE timing advance adjustment accuracy test in NGSO scenario</w:t>
                  </w:r>
                </w:p>
              </w:tc>
              <w:tc>
                <w:tcPr>
                  <w:tcW w:w="3788" w:type="dxa"/>
                </w:tcPr>
                <w:p w14:paraId="6777619C" w14:textId="77777777" w:rsidR="00D2390D" w:rsidRPr="00D2390D" w:rsidRDefault="00D2390D" w:rsidP="004E3BCF">
                  <w:pPr>
                    <w:rPr>
                      <w:color w:val="000000"/>
                      <w:sz w:val="18"/>
                      <w:szCs w:val="18"/>
                    </w:rPr>
                  </w:pPr>
                  <w:r w:rsidRPr="00D2390D">
                    <w:rPr>
                      <w:color w:val="000000"/>
                      <w:sz w:val="18"/>
                      <w:szCs w:val="18"/>
                    </w:rPr>
                    <w:t>To verify the UE Timing Advance adjustment delay and accuracy requirement in NGSO scenario.</w:t>
                  </w:r>
                </w:p>
              </w:tc>
              <w:tc>
                <w:tcPr>
                  <w:tcW w:w="1333" w:type="dxa"/>
                </w:tcPr>
                <w:p w14:paraId="69E89EEC" w14:textId="77777777" w:rsidR="00D2390D" w:rsidRPr="00D2390D" w:rsidRDefault="00D2390D" w:rsidP="004E3BCF">
                  <w:pPr>
                    <w:rPr>
                      <w:color w:val="000000"/>
                      <w:sz w:val="18"/>
                      <w:szCs w:val="18"/>
                    </w:rPr>
                  </w:pPr>
                  <w:r w:rsidRPr="00D2390D">
                    <w:rPr>
                      <w:color w:val="000000"/>
                      <w:sz w:val="18"/>
                      <w:szCs w:val="18"/>
                    </w:rPr>
                    <w:t>A.14.x2.4</w:t>
                  </w:r>
                </w:p>
              </w:tc>
            </w:tr>
          </w:tbl>
          <w:p w14:paraId="6C00AC37" w14:textId="77777777" w:rsidR="00D2390D" w:rsidRPr="00D2390D" w:rsidRDefault="00D2390D" w:rsidP="00D2390D">
            <w:pPr>
              <w:pStyle w:val="ListParagraph"/>
              <w:numPr>
                <w:ilvl w:val="2"/>
                <w:numId w:val="14"/>
              </w:numPr>
              <w:spacing w:after="120" w:line="240" w:lineRule="auto"/>
              <w:ind w:left="1562"/>
              <w:contextualSpacing w:val="0"/>
              <w:rPr>
                <w:rFonts w:eastAsia="SimSun" w:cs="Times New Roman"/>
                <w:szCs w:val="24"/>
              </w:rPr>
            </w:pPr>
            <w:r w:rsidRPr="00D2390D">
              <w:rPr>
                <w:rFonts w:eastAsia="SimSun" w:cs="Times New Roman"/>
                <w:szCs w:val="24"/>
              </w:rPr>
              <w:t xml:space="preserve">FFS the following notes: </w:t>
            </w:r>
          </w:p>
          <w:p w14:paraId="70DBB3D0" w14:textId="77777777" w:rsidR="00D2390D" w:rsidRPr="00D2390D" w:rsidRDefault="00D2390D" w:rsidP="00D2390D">
            <w:pPr>
              <w:pStyle w:val="ListParagraph"/>
              <w:numPr>
                <w:ilvl w:val="3"/>
                <w:numId w:val="14"/>
              </w:numPr>
              <w:spacing w:after="120" w:line="240" w:lineRule="auto"/>
              <w:ind w:left="1982"/>
              <w:contextualSpacing w:val="0"/>
              <w:rPr>
                <w:rFonts w:eastAsia="SimSun" w:cs="Times New Roman"/>
                <w:szCs w:val="24"/>
              </w:rPr>
            </w:pPr>
            <w:r w:rsidRPr="00D2390D">
              <w:rPr>
                <w:rFonts w:eastAsia="SimSun" w:cs="Times New Roman"/>
                <w:szCs w:val="24"/>
              </w:rPr>
              <w:t>Note 1: For UE supporting NGSO, the GSO-based test cases can be skipped.</w:t>
            </w:r>
          </w:p>
          <w:p w14:paraId="378E19E4" w14:textId="77777777" w:rsidR="00D2390D" w:rsidRPr="00D2390D" w:rsidRDefault="00D2390D" w:rsidP="00D2390D">
            <w:pPr>
              <w:pStyle w:val="ListParagraph"/>
              <w:numPr>
                <w:ilvl w:val="3"/>
                <w:numId w:val="14"/>
              </w:numPr>
              <w:spacing w:after="120" w:line="240" w:lineRule="auto"/>
              <w:ind w:left="1982"/>
              <w:contextualSpacing w:val="0"/>
              <w:rPr>
                <w:rFonts w:eastAsia="SimSun" w:cs="Times New Roman"/>
                <w:szCs w:val="24"/>
              </w:rPr>
            </w:pPr>
            <w:r w:rsidRPr="00D2390D">
              <w:rPr>
                <w:rFonts w:eastAsia="SimSun" w:cs="Times New Roman"/>
                <w:szCs w:val="24"/>
              </w:rPr>
              <w:t>Note 2: For UE supporting GSO, the NGSO-based test cases can be skipped.</w:t>
            </w:r>
          </w:p>
          <w:p w14:paraId="618405E2" w14:textId="77777777" w:rsidR="00D2390D" w:rsidRPr="00D2390D" w:rsidRDefault="00D2390D" w:rsidP="00D2390D">
            <w:pPr>
              <w:pStyle w:val="ListParagraph"/>
              <w:numPr>
                <w:ilvl w:val="3"/>
                <w:numId w:val="14"/>
              </w:numPr>
              <w:spacing w:after="120" w:line="240" w:lineRule="auto"/>
              <w:ind w:left="1982"/>
              <w:contextualSpacing w:val="0"/>
              <w:rPr>
                <w:rFonts w:eastAsia="SimSun" w:cs="Times New Roman"/>
                <w:szCs w:val="24"/>
              </w:rPr>
            </w:pPr>
            <w:r w:rsidRPr="00D2390D">
              <w:rPr>
                <w:rFonts w:eastAsia="SimSun" w:cs="Times New Roman"/>
                <w:szCs w:val="24"/>
              </w:rPr>
              <w:t xml:space="preserve">Note 3: </w:t>
            </w:r>
          </w:p>
          <w:p w14:paraId="20E2A8F0" w14:textId="77777777" w:rsidR="00D2390D" w:rsidRPr="00D2390D" w:rsidRDefault="00D2390D" w:rsidP="00D2390D">
            <w:pPr>
              <w:pStyle w:val="ListParagraph"/>
              <w:numPr>
                <w:ilvl w:val="4"/>
                <w:numId w:val="16"/>
              </w:numPr>
              <w:overflowPunct w:val="0"/>
              <w:autoSpaceDE w:val="0"/>
              <w:autoSpaceDN w:val="0"/>
              <w:adjustRightInd w:val="0"/>
              <w:spacing w:after="120" w:line="240" w:lineRule="auto"/>
              <w:ind w:left="2402"/>
              <w:contextualSpacing w:val="0"/>
              <w:textAlignment w:val="baseline"/>
              <w:rPr>
                <w:rFonts w:eastAsia="SimSun" w:cs="Times New Roman"/>
                <w:szCs w:val="24"/>
              </w:rPr>
            </w:pPr>
            <w:r w:rsidRPr="00D2390D">
              <w:rPr>
                <w:rFonts w:eastAsia="SimSun" w:cs="Times New Roman"/>
                <w:szCs w:val="24"/>
              </w:rPr>
              <w:t>Option 1: UE supporting both NGSO and GSO, GSO-based test cases can be skipped if the UE passes NGSO-based test cases.</w:t>
            </w:r>
          </w:p>
          <w:p w14:paraId="506EB0B8" w14:textId="5778BB0D" w:rsidR="00D2390D" w:rsidRPr="005908B9" w:rsidRDefault="00D2390D" w:rsidP="005908B9">
            <w:pPr>
              <w:pStyle w:val="ListParagraph"/>
              <w:numPr>
                <w:ilvl w:val="4"/>
                <w:numId w:val="16"/>
              </w:numPr>
              <w:overflowPunct w:val="0"/>
              <w:autoSpaceDE w:val="0"/>
              <w:autoSpaceDN w:val="0"/>
              <w:adjustRightInd w:val="0"/>
              <w:spacing w:after="120" w:line="240" w:lineRule="auto"/>
              <w:ind w:left="2402"/>
              <w:contextualSpacing w:val="0"/>
              <w:textAlignment w:val="baseline"/>
              <w:rPr>
                <w:rFonts w:eastAsia="SimSun" w:cs="Times New Roman"/>
                <w:szCs w:val="24"/>
              </w:rPr>
            </w:pPr>
            <w:r w:rsidRPr="00D2390D">
              <w:rPr>
                <w:rFonts w:eastAsia="SimSun" w:cs="Times New Roman"/>
                <w:szCs w:val="24"/>
              </w:rPr>
              <w:t>Option 2: For UE supporting both GSO and NGSO, UE is only required to pass either the NGSO-based test cases or the GSO-based test cases.</w:t>
            </w:r>
          </w:p>
        </w:tc>
      </w:tr>
    </w:tbl>
    <w:p w14:paraId="5058F6DB" w14:textId="0D808D6E" w:rsidR="001C7928" w:rsidRDefault="001C7928" w:rsidP="001C7928">
      <w:pPr>
        <w:pStyle w:val="ListParagraph"/>
        <w:spacing w:after="120" w:line="240" w:lineRule="auto"/>
        <w:ind w:left="1260"/>
        <w:contextualSpacing w:val="0"/>
        <w:rPr>
          <w:rFonts w:eastAsia="SimSun" w:cs="Times New Roman"/>
          <w:szCs w:val="24"/>
        </w:rPr>
      </w:pPr>
    </w:p>
    <w:p w14:paraId="17BE7E48" w14:textId="24D93843" w:rsidR="001C7928" w:rsidRPr="00D2390D" w:rsidRDefault="00D2390D" w:rsidP="005908B9">
      <w:pPr>
        <w:pStyle w:val="ListParagraph"/>
        <w:spacing w:after="120" w:line="240" w:lineRule="auto"/>
        <w:ind w:left="0"/>
        <w:contextualSpacing w:val="0"/>
        <w:rPr>
          <w:rFonts w:eastAsia="SimSun" w:cs="Times New Roman"/>
          <w:szCs w:val="24"/>
        </w:rPr>
      </w:pPr>
      <w:r>
        <w:rPr>
          <w:rFonts w:eastAsia="SimSun" w:cs="Times New Roman"/>
          <w:szCs w:val="24"/>
        </w:rPr>
        <w:t xml:space="preserve">The test cases must evaluate the UE capabilities to maintain and adjust transmit timing. The need for specific tests designed for NTN capable UEs is justified by introduction of new functionalities (UE autonomous pre-compensation) and the usage of new higher layer parameters, used for adjusting UE transmit timing, such as: </w:t>
      </w:r>
      <w:r>
        <w:rPr>
          <w:i/>
        </w:rPr>
        <w:t>CellSpecific_Koffset</w:t>
      </w:r>
      <w:r>
        <w:rPr>
          <w:rFonts w:eastAsia="SimSun" w:cs="Times New Roman"/>
          <w:szCs w:val="24"/>
        </w:rPr>
        <w:t xml:space="preserve">, </w:t>
      </w:r>
      <w:r>
        <w:rPr>
          <w:i/>
          <w:iCs/>
          <w:lang w:eastAsia="ko-KR"/>
        </w:rPr>
        <w:t>ta-Common</w:t>
      </w:r>
      <w:r>
        <w:rPr>
          <w:lang w:eastAsia="ko-KR"/>
        </w:rPr>
        <w:t xml:space="preserve">, </w:t>
      </w:r>
      <w:r>
        <w:rPr>
          <w:i/>
          <w:iCs/>
          <w:lang w:eastAsia="ko-KR"/>
        </w:rPr>
        <w:t>ta-CommonDrift</w:t>
      </w:r>
      <w:r>
        <w:rPr>
          <w:lang w:eastAsia="ko-KR"/>
        </w:rPr>
        <w:t xml:space="preserve">, and </w:t>
      </w:r>
      <w:r>
        <w:rPr>
          <w:i/>
          <w:iCs/>
          <w:lang w:eastAsia="ko-KR"/>
        </w:rPr>
        <w:t xml:space="preserve">ta-CommonDriftVariant, </w:t>
      </w:r>
      <w:r>
        <w:rPr>
          <w:lang w:eastAsia="ko-KR"/>
        </w:rPr>
        <w:t xml:space="preserve">ephemeris related parameters, etc. </w:t>
      </w:r>
    </w:p>
    <w:p w14:paraId="658B7E25" w14:textId="174B42EC" w:rsidR="001C7928" w:rsidRDefault="001C7928" w:rsidP="00D2390D">
      <w:pPr>
        <w:pStyle w:val="ListParagraph"/>
        <w:spacing w:after="120" w:line="240" w:lineRule="auto"/>
        <w:ind w:left="0"/>
        <w:contextualSpacing w:val="0"/>
        <w:rPr>
          <w:rFonts w:eastAsia="SimSun" w:cs="Times New Roman"/>
          <w:szCs w:val="24"/>
        </w:rPr>
      </w:pPr>
      <w:r w:rsidRPr="00143639">
        <w:rPr>
          <w:rFonts w:eastAsia="SimSun" w:cs="Times New Roman"/>
          <w:szCs w:val="24"/>
        </w:rPr>
        <w:t xml:space="preserve"> </w:t>
      </w:r>
      <w:r w:rsidR="00D2390D">
        <w:rPr>
          <w:rFonts w:eastAsia="SimSun" w:cs="Times New Roman"/>
          <w:szCs w:val="24"/>
        </w:rPr>
        <w:t xml:space="preserve">From the functional point of view, NGSO and GSO satellites do not entice different procedures at the UE side, as the same set of parameters is used for both cases, and similar actions are expected. The main difference between both cases lies on the fact that NGSO will create more stringent scenarios for the UE to maintain a well adjusted transmit timing, as the relative velocities between the average UE and a NGSO satellite varies much faster than the relative velocity between a GSO satellite and the average UE. Although GSO scenarios will lead to much higher timing advance offsets at the uplink, their variation is comparably small. </w:t>
      </w:r>
    </w:p>
    <w:p w14:paraId="3D531AB9" w14:textId="66026D65" w:rsidR="00D106CA" w:rsidRDefault="00D106CA" w:rsidP="00D2390D">
      <w:pPr>
        <w:pStyle w:val="ListParagraph"/>
        <w:spacing w:after="120" w:line="240" w:lineRule="auto"/>
        <w:ind w:left="0"/>
        <w:contextualSpacing w:val="0"/>
        <w:rPr>
          <w:rFonts w:eastAsia="SimSun" w:cs="Times New Roman"/>
          <w:szCs w:val="24"/>
        </w:rPr>
      </w:pPr>
      <w:r>
        <w:rPr>
          <w:rFonts w:eastAsia="SimSun" w:cs="Times New Roman"/>
          <w:szCs w:val="24"/>
        </w:rPr>
        <w:t>Therefore, we propose to adopt Option 2 for Note 3:</w:t>
      </w:r>
    </w:p>
    <w:p w14:paraId="6A036613" w14:textId="51610579" w:rsidR="00D106CA" w:rsidRPr="00253FD6" w:rsidRDefault="00D106CA" w:rsidP="00253FD6">
      <w:pPr>
        <w:pStyle w:val="ListParagraph"/>
        <w:spacing w:after="120" w:line="240" w:lineRule="auto"/>
        <w:ind w:left="431" w:hanging="431"/>
        <w:contextualSpacing w:val="0"/>
        <w:rPr>
          <w:rFonts w:eastAsia="SimSun" w:cs="Times New Roman"/>
          <w:b/>
          <w:bCs/>
          <w:szCs w:val="24"/>
        </w:rPr>
      </w:pPr>
      <w:r w:rsidRPr="00253FD6">
        <w:rPr>
          <w:rFonts w:eastAsia="SimSun" w:cs="Times New Roman"/>
          <w:b/>
          <w:bCs/>
          <w:szCs w:val="24"/>
        </w:rPr>
        <w:t>Proposal</w:t>
      </w:r>
      <w:r w:rsidR="005908B9" w:rsidRPr="00253FD6">
        <w:rPr>
          <w:rFonts w:eastAsia="SimSun" w:cs="Times New Roman"/>
          <w:b/>
          <w:bCs/>
          <w:szCs w:val="24"/>
        </w:rPr>
        <w:t xml:space="preserve"> 1</w:t>
      </w:r>
      <w:r w:rsidRPr="00253FD6">
        <w:rPr>
          <w:rFonts w:eastAsia="SimSun" w:cs="Times New Roman"/>
          <w:b/>
          <w:bCs/>
          <w:szCs w:val="24"/>
        </w:rPr>
        <w:t>: For UE supporting both GSO and NGSO, UE is only required to pass either the NGSO-based test cases or the GSO-based test cases.</w:t>
      </w:r>
    </w:p>
    <w:p w14:paraId="02C6A83F" w14:textId="4FFF7A9C" w:rsidR="00D106CA" w:rsidRPr="00253FD6" w:rsidRDefault="00D106CA" w:rsidP="00253FD6">
      <w:pPr>
        <w:spacing w:after="120" w:line="240" w:lineRule="auto"/>
        <w:rPr>
          <w:rFonts w:eastAsia="SimSun" w:cs="Times New Roman"/>
          <w:b/>
          <w:bCs/>
          <w:szCs w:val="24"/>
        </w:rPr>
      </w:pPr>
      <w:r w:rsidRPr="00253FD6">
        <w:rPr>
          <w:rFonts w:eastAsia="SimSun" w:cs="Times New Roman"/>
          <w:b/>
          <w:bCs/>
          <w:szCs w:val="24"/>
        </w:rPr>
        <w:t>Proposal</w:t>
      </w:r>
      <w:r w:rsidR="005908B9" w:rsidRPr="00253FD6">
        <w:rPr>
          <w:rFonts w:eastAsia="SimSun" w:cs="Times New Roman"/>
          <w:b/>
          <w:bCs/>
          <w:szCs w:val="24"/>
        </w:rPr>
        <w:t xml:space="preserve"> 2</w:t>
      </w:r>
      <w:r w:rsidRPr="00253FD6">
        <w:rPr>
          <w:rFonts w:eastAsia="SimSun" w:cs="Times New Roman"/>
          <w:b/>
          <w:bCs/>
          <w:szCs w:val="24"/>
        </w:rPr>
        <w:t xml:space="preserve">: For UE supporting only GSO, the NGSO-based test cases can be skipped. </w:t>
      </w:r>
    </w:p>
    <w:p w14:paraId="72F06D1B" w14:textId="3A68211F" w:rsidR="00D106CA" w:rsidRDefault="00D106CA" w:rsidP="00D106CA">
      <w:pPr>
        <w:pStyle w:val="ListParagraph"/>
        <w:spacing w:after="120" w:line="240" w:lineRule="auto"/>
        <w:ind w:left="0"/>
        <w:contextualSpacing w:val="0"/>
        <w:rPr>
          <w:rFonts w:eastAsia="SimSun" w:cs="Times New Roman"/>
          <w:b/>
          <w:bCs/>
          <w:szCs w:val="24"/>
        </w:rPr>
      </w:pPr>
    </w:p>
    <w:p w14:paraId="09B69706" w14:textId="0AA70294" w:rsidR="00BD529D" w:rsidRPr="00A16FC8" w:rsidRDefault="00BD529D" w:rsidP="005908B9"/>
    <w:p w14:paraId="5E09906E" w14:textId="77777777" w:rsidR="00140AB5" w:rsidRPr="00A16FC8" w:rsidRDefault="00140AB5" w:rsidP="005908B9">
      <w:pPr>
        <w:ind w:firstLine="720"/>
      </w:pPr>
    </w:p>
    <w:p w14:paraId="47CB7C1A" w14:textId="77777777" w:rsidR="00D106CA" w:rsidRPr="004E3BCF" w:rsidRDefault="00D106CA" w:rsidP="00D106CA">
      <w:pPr>
        <w:pStyle w:val="ListParagraph"/>
        <w:spacing w:after="120" w:line="240" w:lineRule="auto"/>
        <w:ind w:left="0"/>
        <w:contextualSpacing w:val="0"/>
        <w:rPr>
          <w:rFonts w:eastAsia="SimSun" w:cs="Times New Roman"/>
          <w:b/>
          <w:bCs/>
          <w:szCs w:val="24"/>
        </w:rPr>
      </w:pPr>
    </w:p>
    <w:p w14:paraId="05643D96" w14:textId="77777777" w:rsidR="005D16E7" w:rsidRDefault="005D16E7" w:rsidP="005908B9"/>
    <w:p w14:paraId="35387AB9" w14:textId="53008089" w:rsidR="00B3797E" w:rsidRDefault="00B3797E" w:rsidP="005908B9">
      <w:r>
        <w:tab/>
      </w:r>
    </w:p>
    <w:p w14:paraId="1010B663" w14:textId="13198D0A" w:rsidR="001727BF" w:rsidRDefault="001727BF" w:rsidP="005908B9">
      <w:pPr>
        <w:rPr>
          <w:lang w:val="en-GB"/>
        </w:rPr>
      </w:pPr>
    </w:p>
    <w:p w14:paraId="56446CDB" w14:textId="77777777" w:rsidR="00166849" w:rsidRDefault="00166849" w:rsidP="005908B9">
      <w:pPr>
        <w:rPr>
          <w:lang w:val="en-GB"/>
        </w:rPr>
      </w:pPr>
    </w:p>
    <w:p w14:paraId="761516E1" w14:textId="77777777" w:rsidR="00CD7492" w:rsidRPr="007C00C6" w:rsidRDefault="00CD7492" w:rsidP="005908B9">
      <w:pPr>
        <w:pStyle w:val="RAN4H1"/>
        <w:ind w:left="0"/>
      </w:pPr>
      <w:r w:rsidRPr="007C00C6">
        <w:t>Conclusion</w:t>
      </w:r>
    </w:p>
    <w:p w14:paraId="59D4EB98" w14:textId="4163C51A" w:rsidR="00AB3DD5" w:rsidRDefault="005908B9" w:rsidP="005908B9">
      <w:pPr>
        <w:rPr>
          <w:lang w:val="en-GB"/>
        </w:rPr>
      </w:pPr>
      <w:r>
        <w:rPr>
          <w:lang w:val="en-GB"/>
        </w:rPr>
        <w:t>Based on the discussions above, we propose:</w:t>
      </w:r>
    </w:p>
    <w:p w14:paraId="641B1902" w14:textId="77777777" w:rsidR="00253FD6" w:rsidRPr="00253FD6" w:rsidRDefault="00253FD6" w:rsidP="00253FD6">
      <w:pPr>
        <w:pStyle w:val="ListParagraph"/>
        <w:spacing w:after="120" w:line="240" w:lineRule="auto"/>
        <w:ind w:left="431" w:hanging="431"/>
        <w:contextualSpacing w:val="0"/>
        <w:rPr>
          <w:rFonts w:eastAsia="SimSun" w:cs="Times New Roman"/>
          <w:b/>
          <w:bCs/>
          <w:szCs w:val="24"/>
        </w:rPr>
      </w:pPr>
      <w:r w:rsidRPr="00253FD6">
        <w:rPr>
          <w:rFonts w:eastAsia="SimSun" w:cs="Times New Roman"/>
          <w:b/>
          <w:bCs/>
          <w:szCs w:val="24"/>
        </w:rPr>
        <w:t>Proposal 1: For UE supporting both GSO and NGSO, UE is only required to pass either the NGSO-based test cases or the GSO-based test cases.</w:t>
      </w:r>
    </w:p>
    <w:p w14:paraId="7E9B4095" w14:textId="77777777" w:rsidR="00253FD6" w:rsidRPr="00253FD6" w:rsidRDefault="00253FD6" w:rsidP="00253FD6">
      <w:pPr>
        <w:spacing w:after="120" w:line="240" w:lineRule="auto"/>
        <w:rPr>
          <w:rFonts w:eastAsia="SimSun" w:cs="Times New Roman"/>
          <w:b/>
          <w:bCs/>
          <w:szCs w:val="24"/>
        </w:rPr>
      </w:pPr>
      <w:r w:rsidRPr="00253FD6">
        <w:rPr>
          <w:rFonts w:eastAsia="SimSun" w:cs="Times New Roman"/>
          <w:b/>
          <w:bCs/>
          <w:szCs w:val="24"/>
        </w:rPr>
        <w:t xml:space="preserve">Proposal 2: For UE supporting only GSO, the NGSO-based test cases can be skipped. </w:t>
      </w:r>
    </w:p>
    <w:p w14:paraId="3B1C940E" w14:textId="77777777" w:rsidR="0070402F" w:rsidRPr="005908B9" w:rsidRDefault="0070402F" w:rsidP="005908B9"/>
    <w:p w14:paraId="19FC2F12" w14:textId="4405AB41" w:rsidR="003B659E" w:rsidRPr="001F4F60" w:rsidRDefault="003B659E" w:rsidP="005908B9">
      <w:pPr>
        <w:pStyle w:val="RAN4H1"/>
        <w:ind w:left="0"/>
      </w:pPr>
      <w:r w:rsidRPr="0095295C">
        <w:t>References</w:t>
      </w:r>
    </w:p>
    <w:p w14:paraId="78882379" w14:textId="37B464E7" w:rsidR="005908B9" w:rsidRPr="003A297C" w:rsidRDefault="005908B9" w:rsidP="005908B9">
      <w:pPr>
        <w:numPr>
          <w:ilvl w:val="0"/>
          <w:numId w:val="18"/>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3" w:name="_Ref54013899"/>
      <w:bookmarkStart w:id="4" w:name="_Ref101429480"/>
      <w:bookmarkStart w:id="5" w:name="_Hlk92129218"/>
      <w:r w:rsidRPr="003A297C">
        <w:rPr>
          <w:sz w:val="18"/>
          <w:szCs w:val="18"/>
        </w:rPr>
        <w:t>RP-</w:t>
      </w:r>
      <w:bookmarkStart w:id="6" w:name="_Hlk92131811"/>
      <w:r w:rsidRPr="003A297C">
        <w:rPr>
          <w:sz w:val="18"/>
          <w:szCs w:val="18"/>
        </w:rPr>
        <w:t>213691</w:t>
      </w:r>
      <w:bookmarkEnd w:id="6"/>
      <w:r w:rsidRPr="003A297C">
        <w:rPr>
          <w:sz w:val="18"/>
          <w:szCs w:val="18"/>
        </w:rPr>
        <w:t xml:space="preserve">, </w:t>
      </w:r>
      <w:bookmarkEnd w:id="3"/>
      <w:r w:rsidRPr="003A297C">
        <w:rPr>
          <w:sz w:val="18"/>
          <w:szCs w:val="18"/>
        </w:rPr>
        <w:t>Revised WID: Solutions for NR to support non-terrestrial networks (NTN), Thales</w:t>
      </w:r>
      <w:bookmarkEnd w:id="4"/>
    </w:p>
    <w:p w14:paraId="0933CB5D" w14:textId="77777777" w:rsidR="005908B9" w:rsidRPr="003A297C" w:rsidRDefault="005908B9" w:rsidP="005908B9">
      <w:pPr>
        <w:numPr>
          <w:ilvl w:val="0"/>
          <w:numId w:val="18"/>
        </w:numPr>
        <w:tabs>
          <w:tab w:val="clear" w:pos="720"/>
          <w:tab w:val="num" w:pos="0"/>
        </w:tabs>
        <w:overflowPunct w:val="0"/>
        <w:autoSpaceDE w:val="0"/>
        <w:autoSpaceDN w:val="0"/>
        <w:adjustRightInd w:val="0"/>
        <w:spacing w:after="0" w:line="240" w:lineRule="auto"/>
        <w:ind w:left="360"/>
        <w:jc w:val="both"/>
        <w:textAlignment w:val="baseline"/>
        <w:rPr>
          <w:sz w:val="18"/>
          <w:szCs w:val="18"/>
        </w:rPr>
      </w:pPr>
      <w:bookmarkStart w:id="7" w:name="_Ref101434270"/>
      <w:bookmarkEnd w:id="5"/>
      <w:r w:rsidRPr="003A297C">
        <w:rPr>
          <w:sz w:val="18"/>
          <w:szCs w:val="18"/>
        </w:rPr>
        <w:t>RP-220209, Rel-17 Work Item Exception for NR-NTN-solutions, Thales</w:t>
      </w:r>
      <w:bookmarkEnd w:id="7"/>
    </w:p>
    <w:p w14:paraId="3414EE64" w14:textId="1E8FCE9B" w:rsidR="00473FE1" w:rsidRPr="005908B9" w:rsidRDefault="00F87137" w:rsidP="005908B9">
      <w:pPr>
        <w:numPr>
          <w:ilvl w:val="0"/>
          <w:numId w:val="18"/>
        </w:numPr>
        <w:tabs>
          <w:tab w:val="clear" w:pos="720"/>
          <w:tab w:val="num" w:pos="0"/>
        </w:tabs>
        <w:overflowPunct w:val="0"/>
        <w:autoSpaceDE w:val="0"/>
        <w:autoSpaceDN w:val="0"/>
        <w:adjustRightInd w:val="0"/>
        <w:spacing w:after="0" w:line="240" w:lineRule="auto"/>
        <w:ind w:left="360"/>
        <w:jc w:val="both"/>
        <w:textAlignment w:val="baseline"/>
      </w:pPr>
      <w:r w:rsidRPr="005908B9">
        <w:rPr>
          <w:sz w:val="18"/>
          <w:lang w:eastAsia="zh-CN"/>
        </w:rPr>
        <w:t>R4-2210612</w:t>
      </w:r>
      <w:r w:rsidR="00367DE9" w:rsidRPr="005908B9">
        <w:rPr>
          <w:sz w:val="18"/>
          <w:lang w:eastAsia="zh-CN"/>
        </w:rPr>
        <w:t xml:space="preserve">, </w:t>
      </w:r>
      <w:r w:rsidRPr="005908B9">
        <w:rPr>
          <w:sz w:val="18"/>
          <w:lang w:eastAsia="zh-CN"/>
        </w:rPr>
        <w:t>WF on timing requirements and performance requirements for NR NTN</w:t>
      </w:r>
      <w:r w:rsidR="00367DE9" w:rsidRPr="005908B9">
        <w:rPr>
          <w:sz w:val="18"/>
          <w:lang w:eastAsia="zh-CN"/>
        </w:rPr>
        <w:t xml:space="preserve">, </w:t>
      </w:r>
      <w:r w:rsidRPr="005908B9">
        <w:rPr>
          <w:sz w:val="18"/>
          <w:lang w:eastAsia="zh-CN"/>
        </w:rPr>
        <w:t>Xiaomi</w:t>
      </w:r>
    </w:p>
    <w:p w14:paraId="20DEC351" w14:textId="6414D74E" w:rsidR="00533BAE" w:rsidRDefault="00533BAE" w:rsidP="005908B9">
      <w:pPr>
        <w:ind w:right="-22"/>
        <w:rPr>
          <w:sz w:val="18"/>
          <w:lang w:eastAsia="zh-CN"/>
        </w:rPr>
      </w:pPr>
    </w:p>
    <w:p w14:paraId="37FADF7C" w14:textId="77777777" w:rsidR="006049BE" w:rsidRDefault="006049BE" w:rsidP="00EF34CB">
      <w:pPr>
        <w:ind w:right="-22"/>
        <w:rPr>
          <w:sz w:val="18"/>
          <w:lang w:eastAsia="zh-CN"/>
        </w:rPr>
      </w:pPr>
    </w:p>
    <w:p w14:paraId="70FA7857" w14:textId="0510C2F8" w:rsidR="00E00F59" w:rsidRDefault="00E00F59" w:rsidP="00EF34CB">
      <w:pPr>
        <w:ind w:right="-22"/>
        <w:rPr>
          <w:sz w:val="18"/>
          <w:lang w:eastAsia="zh-CN"/>
        </w:rPr>
      </w:pPr>
    </w:p>
    <w:p w14:paraId="6F145F36" w14:textId="7B958084" w:rsidR="005B074A" w:rsidRDefault="005B074A" w:rsidP="00EF34CB">
      <w:pPr>
        <w:ind w:right="-22"/>
        <w:rPr>
          <w:sz w:val="18"/>
          <w:lang w:eastAsia="zh-CN"/>
        </w:rPr>
      </w:pPr>
    </w:p>
    <w:p w14:paraId="3170495B" w14:textId="3BBAF636" w:rsidR="005B074A" w:rsidRDefault="005B074A"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511AE" w14:textId="77777777" w:rsidR="004826C0" w:rsidRDefault="004826C0" w:rsidP="00001C9B">
      <w:pPr>
        <w:spacing w:after="0" w:line="240" w:lineRule="auto"/>
      </w:pPr>
      <w:r>
        <w:separator/>
      </w:r>
    </w:p>
  </w:endnote>
  <w:endnote w:type="continuationSeparator" w:id="0">
    <w:p w14:paraId="28C88D6B" w14:textId="77777777" w:rsidR="004826C0" w:rsidRDefault="004826C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AC6FF" w14:textId="77777777" w:rsidR="004826C0" w:rsidRDefault="004826C0" w:rsidP="00001C9B">
      <w:pPr>
        <w:spacing w:after="0" w:line="240" w:lineRule="auto"/>
      </w:pPr>
      <w:r>
        <w:separator/>
      </w:r>
    </w:p>
  </w:footnote>
  <w:footnote w:type="continuationSeparator" w:id="0">
    <w:p w14:paraId="65D36A48" w14:textId="77777777" w:rsidR="004826C0" w:rsidRDefault="004826C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38" type="#_x0000_t75" style="width:112.8pt;height:74.9pt" o:bullet="t">
        <v:imagedata r:id="rId1" o:title=""/>
      </v:shape>
    </w:pict>
  </w:numPicBullet>
  <w:abstractNum w:abstractNumId="0" w15:restartNumberingAfterBreak="0">
    <w:nsid w:val="16480C0F"/>
    <w:multiLevelType w:val="hybridMultilevel"/>
    <w:tmpl w:val="16284D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3"/>
  </w:num>
  <w:num w:numId="4">
    <w:abstractNumId w:val="4"/>
  </w:num>
  <w:num w:numId="5">
    <w:abstractNumId w:val="1"/>
  </w:num>
  <w:num w:numId="6">
    <w:abstractNumId w:val="10"/>
  </w:num>
  <w:num w:numId="7">
    <w:abstractNumId w:val="12"/>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8"/>
  </w:num>
  <w:num w:numId="15">
    <w:abstractNumId w:val="13"/>
  </w:num>
  <w:num w:numId="16">
    <w:abstractNumId w:val="9"/>
  </w:num>
  <w:num w:numId="17">
    <w:abstractNumId w:val="0"/>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544C"/>
    <w:rsid w:val="00075DAD"/>
    <w:rsid w:val="00075FC9"/>
    <w:rsid w:val="00076579"/>
    <w:rsid w:val="00076AA8"/>
    <w:rsid w:val="00077145"/>
    <w:rsid w:val="00077913"/>
    <w:rsid w:val="00077A09"/>
    <w:rsid w:val="00077D5A"/>
    <w:rsid w:val="00080458"/>
    <w:rsid w:val="0008092C"/>
    <w:rsid w:val="00082DFF"/>
    <w:rsid w:val="00083103"/>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0448"/>
    <w:rsid w:val="00131B03"/>
    <w:rsid w:val="00131ECB"/>
    <w:rsid w:val="00132240"/>
    <w:rsid w:val="00132573"/>
    <w:rsid w:val="0013335D"/>
    <w:rsid w:val="00133BDD"/>
    <w:rsid w:val="0013771F"/>
    <w:rsid w:val="00137928"/>
    <w:rsid w:val="00137ECD"/>
    <w:rsid w:val="00140AB5"/>
    <w:rsid w:val="00141A2B"/>
    <w:rsid w:val="00142268"/>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C7928"/>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72EC"/>
    <w:rsid w:val="001E7E6F"/>
    <w:rsid w:val="001F009B"/>
    <w:rsid w:val="001F2A59"/>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3FD6"/>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3035"/>
    <w:rsid w:val="002E3B12"/>
    <w:rsid w:val="002E430C"/>
    <w:rsid w:val="002E576A"/>
    <w:rsid w:val="002E5EF2"/>
    <w:rsid w:val="002E689F"/>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7813"/>
    <w:rsid w:val="00330A6E"/>
    <w:rsid w:val="00330FA4"/>
    <w:rsid w:val="00331161"/>
    <w:rsid w:val="00331FB8"/>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2636"/>
    <w:rsid w:val="00362793"/>
    <w:rsid w:val="00363513"/>
    <w:rsid w:val="00363811"/>
    <w:rsid w:val="00363CF1"/>
    <w:rsid w:val="003641B4"/>
    <w:rsid w:val="003651FB"/>
    <w:rsid w:val="00365C8F"/>
    <w:rsid w:val="00365C9F"/>
    <w:rsid w:val="003675A4"/>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297C"/>
    <w:rsid w:val="003A32BE"/>
    <w:rsid w:val="003A3368"/>
    <w:rsid w:val="003A3E07"/>
    <w:rsid w:val="003A40F3"/>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5ED"/>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E8D"/>
    <w:rsid w:val="00446F1B"/>
    <w:rsid w:val="00446FE8"/>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26C0"/>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EF5"/>
    <w:rsid w:val="00533088"/>
    <w:rsid w:val="00533BAE"/>
    <w:rsid w:val="00534361"/>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26A8"/>
    <w:rsid w:val="005728A1"/>
    <w:rsid w:val="005728CE"/>
    <w:rsid w:val="00573848"/>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8B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7D53"/>
    <w:rsid w:val="005D1622"/>
    <w:rsid w:val="005D16E7"/>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3993"/>
    <w:rsid w:val="00644A5F"/>
    <w:rsid w:val="00645255"/>
    <w:rsid w:val="006452B9"/>
    <w:rsid w:val="006468FD"/>
    <w:rsid w:val="00646B99"/>
    <w:rsid w:val="00647950"/>
    <w:rsid w:val="00651FED"/>
    <w:rsid w:val="006520C0"/>
    <w:rsid w:val="00652311"/>
    <w:rsid w:val="00652372"/>
    <w:rsid w:val="0065288F"/>
    <w:rsid w:val="0065373E"/>
    <w:rsid w:val="00655F30"/>
    <w:rsid w:val="00656961"/>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59A1"/>
    <w:rsid w:val="00695CE2"/>
    <w:rsid w:val="006A14D9"/>
    <w:rsid w:val="006A18A0"/>
    <w:rsid w:val="006A26CB"/>
    <w:rsid w:val="006A26ED"/>
    <w:rsid w:val="006A4250"/>
    <w:rsid w:val="006A43FF"/>
    <w:rsid w:val="006A577E"/>
    <w:rsid w:val="006A5AC8"/>
    <w:rsid w:val="006A60F9"/>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457D"/>
    <w:rsid w:val="00785176"/>
    <w:rsid w:val="00785232"/>
    <w:rsid w:val="00785E4C"/>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01B9"/>
    <w:rsid w:val="00822940"/>
    <w:rsid w:val="00822B12"/>
    <w:rsid w:val="00825270"/>
    <w:rsid w:val="008268DB"/>
    <w:rsid w:val="00826BC8"/>
    <w:rsid w:val="008302E0"/>
    <w:rsid w:val="00830687"/>
    <w:rsid w:val="0083117D"/>
    <w:rsid w:val="008313D5"/>
    <w:rsid w:val="00833859"/>
    <w:rsid w:val="00833933"/>
    <w:rsid w:val="00836B73"/>
    <w:rsid w:val="00841BCD"/>
    <w:rsid w:val="00841CB1"/>
    <w:rsid w:val="00842FE0"/>
    <w:rsid w:val="008454FF"/>
    <w:rsid w:val="0084551E"/>
    <w:rsid w:val="00847985"/>
    <w:rsid w:val="0085056D"/>
    <w:rsid w:val="00850995"/>
    <w:rsid w:val="0085179D"/>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6E"/>
    <w:rsid w:val="00885869"/>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6FC8"/>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22AA"/>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2C75"/>
    <w:rsid w:val="00AB3DD5"/>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97E"/>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7F8"/>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29D"/>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5DBD"/>
    <w:rsid w:val="00C3280F"/>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5A8D"/>
    <w:rsid w:val="00C8675C"/>
    <w:rsid w:val="00C86BFD"/>
    <w:rsid w:val="00C872A5"/>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6CA"/>
    <w:rsid w:val="00D108F3"/>
    <w:rsid w:val="00D1095D"/>
    <w:rsid w:val="00D10CB1"/>
    <w:rsid w:val="00D11615"/>
    <w:rsid w:val="00D13638"/>
    <w:rsid w:val="00D14866"/>
    <w:rsid w:val="00D155EA"/>
    <w:rsid w:val="00D1589E"/>
    <w:rsid w:val="00D15B95"/>
    <w:rsid w:val="00D16E10"/>
    <w:rsid w:val="00D20FEF"/>
    <w:rsid w:val="00D2120B"/>
    <w:rsid w:val="00D216D4"/>
    <w:rsid w:val="00D2294E"/>
    <w:rsid w:val="00D2390D"/>
    <w:rsid w:val="00D23B29"/>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3EA3"/>
    <w:rsid w:val="00DE502B"/>
    <w:rsid w:val="00DE5999"/>
    <w:rsid w:val="00DE6B94"/>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15EA"/>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54C"/>
    <w:rsid w:val="00F07C1B"/>
    <w:rsid w:val="00F10BE9"/>
    <w:rsid w:val="00F10D4E"/>
    <w:rsid w:val="00F10D5D"/>
    <w:rsid w:val="00F11ABF"/>
    <w:rsid w:val="00F1284F"/>
    <w:rsid w:val="00F12EE8"/>
    <w:rsid w:val="00F12FFA"/>
    <w:rsid w:val="00F1312D"/>
    <w:rsid w:val="00F1362C"/>
    <w:rsid w:val="00F13A35"/>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3A02"/>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137"/>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D0409"/>
    <w:rsid w:val="00FD1613"/>
    <w:rsid w:val="00FD1827"/>
    <w:rsid w:val="00FD303D"/>
    <w:rsid w:val="00FD4B58"/>
    <w:rsid w:val="00FD4BBD"/>
    <w:rsid w:val="00FD6F6C"/>
    <w:rsid w:val="00FE02D5"/>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5657927">
      <w:bodyDiv w:val="1"/>
      <w:marLeft w:val="0"/>
      <w:marRight w:val="0"/>
      <w:marTop w:val="0"/>
      <w:marBottom w:val="0"/>
      <w:divBdr>
        <w:top w:val="none" w:sz="0" w:space="0" w:color="auto"/>
        <w:left w:val="none" w:sz="0" w:space="0" w:color="auto"/>
        <w:bottom w:val="none" w:sz="0" w:space="0" w:color="auto"/>
        <w:right w:val="none" w:sz="0" w:space="0" w:color="auto"/>
      </w:divBdr>
      <w:divsChild>
        <w:div w:id="1658995733">
          <w:marLeft w:val="0"/>
          <w:marRight w:val="0"/>
          <w:marTop w:val="0"/>
          <w:marBottom w:val="0"/>
          <w:divBdr>
            <w:top w:val="none" w:sz="0" w:space="0" w:color="auto"/>
            <w:left w:val="none" w:sz="0" w:space="0" w:color="auto"/>
            <w:bottom w:val="none" w:sz="0" w:space="0" w:color="auto"/>
            <w:right w:val="none" w:sz="0" w:space="0" w:color="auto"/>
          </w:divBdr>
        </w:div>
        <w:div w:id="484005691">
          <w:marLeft w:val="0"/>
          <w:marRight w:val="0"/>
          <w:marTop w:val="0"/>
          <w:marBottom w:val="0"/>
          <w:divBdr>
            <w:top w:val="none" w:sz="0" w:space="0" w:color="auto"/>
            <w:left w:val="none" w:sz="0" w:space="0" w:color="auto"/>
            <w:bottom w:val="none" w:sz="0" w:space="0" w:color="auto"/>
            <w:right w:val="none" w:sz="0" w:space="0" w:color="auto"/>
          </w:divBdr>
        </w:div>
      </w:divsChild>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528878815">
      <w:bodyDiv w:val="1"/>
      <w:marLeft w:val="0"/>
      <w:marRight w:val="0"/>
      <w:marTop w:val="0"/>
      <w:marBottom w:val="0"/>
      <w:divBdr>
        <w:top w:val="none" w:sz="0" w:space="0" w:color="auto"/>
        <w:left w:val="none" w:sz="0" w:space="0" w:color="auto"/>
        <w:bottom w:val="none" w:sz="0" w:space="0" w:color="auto"/>
        <w:right w:val="none" w:sz="0" w:space="0" w:color="auto"/>
      </w:divBdr>
      <w:divsChild>
        <w:div w:id="972827656">
          <w:marLeft w:val="0"/>
          <w:marRight w:val="0"/>
          <w:marTop w:val="0"/>
          <w:marBottom w:val="0"/>
          <w:divBdr>
            <w:top w:val="none" w:sz="0" w:space="0" w:color="auto"/>
            <w:left w:val="none" w:sz="0" w:space="0" w:color="auto"/>
            <w:bottom w:val="none" w:sz="0" w:space="0" w:color="auto"/>
            <w:right w:val="none" w:sz="0" w:space="0" w:color="auto"/>
          </w:divBdr>
        </w:div>
        <w:div w:id="827403184">
          <w:marLeft w:val="0"/>
          <w:marRight w:val="0"/>
          <w:marTop w:val="0"/>
          <w:marBottom w:val="0"/>
          <w:divBdr>
            <w:top w:val="none" w:sz="0" w:space="0" w:color="auto"/>
            <w:left w:val="none" w:sz="0" w:space="0" w:color="auto"/>
            <w:bottom w:val="none" w:sz="0" w:space="0" w:color="auto"/>
            <w:right w:val="none" w:sz="0" w:space="0" w:color="auto"/>
          </w:divBdr>
        </w:div>
      </w:divsChild>
    </w:div>
    <w:div w:id="683632874">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82288326">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5AIRPNAIUNRU-1328258698-12357</_dlc_DocId>
    <_dlc_DocIdUrl xmlns="71c5aaf6-e6ce-465b-b873-5148d2a4c105">
      <Url>https://nokia.sharepoint.com/sites/c5g/5gradio/_layouts/15/DocIdRedir.aspx?ID=5AIRPNAIUNRU-1328258698-12357</Url>
      <Description>5AIRPNAIUNRU-1328258698-12357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2.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3.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4.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108C8C-9F6B-4094-95BA-F909A5B76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6</cp:revision>
  <cp:lastPrinted>2021-10-14T17:58:00Z</cp:lastPrinted>
  <dcterms:created xsi:type="dcterms:W3CDTF">2022-08-10T09:35:00Z</dcterms:created>
  <dcterms:modified xsi:type="dcterms:W3CDTF">2022-08-10T11:12:00Z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bfdfba80-d476-4953-8d17-b309f7fa4a89</vt:lpwstr>
  </property>
</Properties>
</file>